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4C7C50" w:rsidRDefault="004C7C50" w:rsidP="004C7C50">
      <w:pPr>
        <w:jc w:val="center"/>
        <w:rPr>
          <w:b/>
          <w:sz w:val="28"/>
          <w:szCs w:val="28"/>
        </w:rPr>
      </w:pPr>
    </w:p>
    <w:p w:rsidR="007826D3" w:rsidRPr="00CE64FD" w:rsidRDefault="007826D3" w:rsidP="00D2218C">
      <w:pPr>
        <w:jc w:val="center"/>
        <w:rPr>
          <w:b/>
          <w:sz w:val="36"/>
          <w:szCs w:val="36"/>
        </w:rPr>
      </w:pPr>
      <w:r w:rsidRPr="00CE64FD">
        <w:rPr>
          <w:b/>
          <w:sz w:val="36"/>
          <w:szCs w:val="36"/>
        </w:rPr>
        <w:t>Supplemental Information</w:t>
      </w:r>
    </w:p>
    <w:p w:rsidR="004C7C50" w:rsidRPr="004C7C50" w:rsidRDefault="004C7C50" w:rsidP="00D2218C">
      <w:pPr>
        <w:jc w:val="center"/>
        <w:rPr>
          <w:b/>
          <w:sz w:val="32"/>
          <w:szCs w:val="32"/>
        </w:rPr>
      </w:pPr>
    </w:p>
    <w:p w:rsidR="004C7C50" w:rsidRPr="004C7C50" w:rsidRDefault="00D550EF" w:rsidP="00D2218C">
      <w:pPr>
        <w:jc w:val="center"/>
        <w:rPr>
          <w:sz w:val="28"/>
          <w:szCs w:val="28"/>
        </w:rPr>
      </w:pPr>
      <w:r>
        <w:rPr>
          <w:sz w:val="28"/>
          <w:szCs w:val="28"/>
        </w:rPr>
        <w:t>for</w:t>
      </w:r>
    </w:p>
    <w:p w:rsidR="004C7C50" w:rsidRPr="00D2218C" w:rsidRDefault="004C7C50" w:rsidP="00D2218C">
      <w:pPr>
        <w:pStyle w:val="Subhead-Lvl2-Thesis"/>
        <w:spacing w:line="240" w:lineRule="auto"/>
        <w:rPr>
          <w:sz w:val="28"/>
          <w:szCs w:val="28"/>
        </w:rPr>
      </w:pPr>
      <w:r w:rsidRPr="00D2218C">
        <w:rPr>
          <w:sz w:val="28"/>
          <w:szCs w:val="28"/>
        </w:rPr>
        <w:t>Use of High-Order Sensitivity Analysis and Reduced-Form Modeling to Quantify Uncertainty in Particulate Matter Simulations in the Presence of Uncertain Emissions Rates</w:t>
      </w:r>
    </w:p>
    <w:p w:rsidR="00D2218C" w:rsidRPr="004C7C50" w:rsidRDefault="00D2218C" w:rsidP="00D2218C">
      <w:pPr>
        <w:pStyle w:val="Subhead-Lvl2-Thesis"/>
        <w:spacing w:line="240" w:lineRule="auto"/>
        <w:rPr>
          <w:b w:val="0"/>
          <w:sz w:val="28"/>
          <w:szCs w:val="28"/>
        </w:rPr>
      </w:pPr>
    </w:p>
    <w:p w:rsidR="004C7C50" w:rsidRPr="004C7C50" w:rsidRDefault="004C7C50" w:rsidP="00D2218C">
      <w:pPr>
        <w:rPr>
          <w:sz w:val="28"/>
          <w:szCs w:val="28"/>
        </w:rPr>
      </w:pPr>
      <w:r w:rsidRPr="004C7C50">
        <w:rPr>
          <w:sz w:val="28"/>
          <w:szCs w:val="28"/>
        </w:rPr>
        <w:t xml:space="preserve">Wenxian Zhang, Marcus A. Trial, Yongtao Hu, Athanasios Nenes, </w:t>
      </w:r>
      <w:r w:rsidR="00D2218C">
        <w:rPr>
          <w:sz w:val="28"/>
          <w:szCs w:val="28"/>
        </w:rPr>
        <w:t xml:space="preserve">and </w:t>
      </w:r>
      <w:r w:rsidRPr="004C7C50">
        <w:rPr>
          <w:sz w:val="28"/>
          <w:szCs w:val="28"/>
        </w:rPr>
        <w:t>Armistead G. Russell</w:t>
      </w:r>
    </w:p>
    <w:p w:rsidR="004C7C50" w:rsidRPr="00A3281A" w:rsidRDefault="004C7C50" w:rsidP="007826D3">
      <w:pPr>
        <w:rPr>
          <w:b/>
          <w:sz w:val="28"/>
          <w:szCs w:val="28"/>
        </w:rPr>
      </w:pPr>
    </w:p>
    <w:p w:rsidR="004C7C50" w:rsidRDefault="004C7C50">
      <w:r>
        <w:br w:type="page"/>
      </w:r>
    </w:p>
    <w:p w:rsidR="007826D3" w:rsidRDefault="007826D3" w:rsidP="007826D3">
      <w:pPr>
        <w:autoSpaceDE w:val="0"/>
        <w:autoSpaceDN w:val="0"/>
        <w:adjustRightInd w:val="0"/>
      </w:pPr>
      <w:r>
        <w:lastRenderedPageBreak/>
        <w:t>Table S1. Evaluation of CMAQ-simulated concentrations of PM</w:t>
      </w:r>
      <w:r w:rsidRPr="001B7F0E">
        <w:rPr>
          <w:vertAlign w:val="subscript"/>
        </w:rPr>
        <w:t>2.5</w:t>
      </w:r>
      <w:r>
        <w:t xml:space="preserve"> species by comparison with the AQS observational data from August 10 to September 14 in 2006.</w:t>
      </w:r>
    </w:p>
    <w:p w:rsidR="007826D3" w:rsidRDefault="007826D3" w:rsidP="007826D3">
      <w:pPr>
        <w:autoSpaceDE w:val="0"/>
        <w:autoSpaceDN w:val="0"/>
        <w:adjustRightInd w:val="0"/>
      </w:pPr>
    </w:p>
    <w:tbl>
      <w:tblPr>
        <w:tblW w:w="11087" w:type="dxa"/>
        <w:tblInd w:w="-85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5"/>
        <w:gridCol w:w="1192"/>
        <w:gridCol w:w="1400"/>
        <w:gridCol w:w="1128"/>
        <w:gridCol w:w="1216"/>
        <w:gridCol w:w="1496"/>
        <w:gridCol w:w="1192"/>
        <w:gridCol w:w="1016"/>
        <w:gridCol w:w="1136"/>
      </w:tblGrid>
      <w:tr w:rsidR="007826D3" w:rsidRPr="009A2B5C" w:rsidTr="003F6C3B">
        <w:trPr>
          <w:trHeight w:val="255"/>
        </w:trPr>
        <w:tc>
          <w:tcPr>
            <w:tcW w:w="1439" w:type="dxa"/>
            <w:noWrap/>
          </w:tcPr>
          <w:p w:rsidR="007826D3" w:rsidRPr="001D4E3F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PM Species</w:t>
            </w:r>
          </w:p>
        </w:tc>
        <w:tc>
          <w:tcPr>
            <w:tcW w:w="1176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Number</w:t>
            </w:r>
            <w:r>
              <w:rPr>
                <w:b/>
                <w:sz w:val="20"/>
                <w:szCs w:val="20"/>
                <w:lang w:eastAsia="zh-CN"/>
              </w:rPr>
              <w:t xml:space="preserve"> of comparison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pairs</w:t>
            </w:r>
          </w:p>
        </w:tc>
        <w:tc>
          <w:tcPr>
            <w:tcW w:w="1384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Mean of concentration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(μg m</w:t>
            </w:r>
            <w:r w:rsidRPr="001D4E3F">
              <w:rPr>
                <w:b/>
                <w:sz w:val="20"/>
                <w:szCs w:val="20"/>
                <w:vertAlign w:val="superscript"/>
                <w:lang w:eastAsia="zh-CN"/>
              </w:rPr>
              <w:t>-3</w:t>
            </w:r>
            <w:r>
              <w:rPr>
                <w:b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Mean Bias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(μg m</w:t>
            </w:r>
            <w:r w:rsidRPr="001D4E3F">
              <w:rPr>
                <w:b/>
                <w:sz w:val="20"/>
                <w:szCs w:val="20"/>
                <w:vertAlign w:val="superscript"/>
                <w:lang w:eastAsia="zh-CN"/>
              </w:rPr>
              <w:t>-3</w:t>
            </w:r>
            <w:r>
              <w:rPr>
                <w:b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200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Normalized </w:t>
            </w:r>
          </w:p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Mean 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Bias</w:t>
            </w:r>
            <w:r>
              <w:rPr>
                <w:b/>
                <w:sz w:val="20"/>
                <w:szCs w:val="20"/>
                <w:lang w:eastAsia="zh-CN"/>
              </w:rPr>
              <w:t xml:space="preserve"> (%)</w:t>
            </w:r>
          </w:p>
        </w:tc>
        <w:tc>
          <w:tcPr>
            <w:tcW w:w="1480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Mean Error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(μg m</w:t>
            </w:r>
            <w:r w:rsidRPr="001D4E3F">
              <w:rPr>
                <w:b/>
                <w:sz w:val="20"/>
                <w:szCs w:val="20"/>
                <w:vertAlign w:val="superscript"/>
                <w:lang w:eastAsia="zh-CN"/>
              </w:rPr>
              <w:t>-3</w:t>
            </w:r>
            <w:r>
              <w:rPr>
                <w:b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76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Normalized</w:t>
            </w:r>
          </w:p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Mean 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Error</w:t>
            </w:r>
            <w:r>
              <w:rPr>
                <w:b/>
                <w:sz w:val="20"/>
                <w:szCs w:val="20"/>
                <w:lang w:eastAsia="zh-CN"/>
              </w:rPr>
              <w:t xml:space="preserve"> (%)</w:t>
            </w:r>
          </w:p>
        </w:tc>
        <w:tc>
          <w:tcPr>
            <w:tcW w:w="1000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Mean </w:t>
            </w:r>
          </w:p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Fractional 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Bias</w:t>
            </w:r>
            <w:r>
              <w:rPr>
                <w:b/>
                <w:sz w:val="20"/>
                <w:szCs w:val="20"/>
                <w:lang w:eastAsia="zh-CN"/>
              </w:rPr>
              <w:t xml:space="preserve"> (%)</w:t>
            </w:r>
          </w:p>
        </w:tc>
        <w:tc>
          <w:tcPr>
            <w:tcW w:w="1120" w:type="dxa"/>
            <w:noWrap/>
          </w:tcPr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Mean </w:t>
            </w:r>
          </w:p>
          <w:p w:rsidR="007826D3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 xml:space="preserve">Fractional </w:t>
            </w:r>
          </w:p>
          <w:p w:rsidR="007826D3" w:rsidRPr="001D4E3F" w:rsidRDefault="007826D3" w:rsidP="003F6C3B">
            <w:pPr>
              <w:jc w:val="right"/>
              <w:rPr>
                <w:b/>
                <w:sz w:val="20"/>
                <w:szCs w:val="20"/>
                <w:lang w:eastAsia="zh-CN"/>
              </w:rPr>
            </w:pPr>
            <w:r w:rsidRPr="001D4E3F">
              <w:rPr>
                <w:b/>
                <w:sz w:val="20"/>
                <w:szCs w:val="20"/>
                <w:lang w:eastAsia="zh-CN"/>
              </w:rPr>
              <w:t>Error</w:t>
            </w:r>
            <w:r>
              <w:rPr>
                <w:b/>
                <w:sz w:val="20"/>
                <w:szCs w:val="20"/>
                <w:lang w:eastAsia="zh-CN"/>
              </w:rPr>
              <w:t xml:space="preserve"> (%)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PM25_daily</w:t>
            </w:r>
          </w:p>
        </w:tc>
        <w:tc>
          <w:tcPr>
            <w:tcW w:w="1176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1384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112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-2.5</w:t>
            </w:r>
          </w:p>
        </w:tc>
        <w:tc>
          <w:tcPr>
            <w:tcW w:w="1200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-1</w:t>
            </w:r>
            <w:r>
              <w:rPr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80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7.0</w:t>
            </w:r>
          </w:p>
        </w:tc>
        <w:tc>
          <w:tcPr>
            <w:tcW w:w="1176" w:type="dxa"/>
            <w:tcBorders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000" w:type="dxa"/>
            <w:tcBorders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-30</w:t>
            </w:r>
          </w:p>
        </w:tc>
        <w:tc>
          <w:tcPr>
            <w:tcW w:w="1120" w:type="dxa"/>
            <w:tcBorders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54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SO4_daily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84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5.5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-2.5</w:t>
            </w:r>
          </w:p>
        </w:tc>
        <w:tc>
          <w:tcPr>
            <w:tcW w:w="120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-46</w:t>
            </w:r>
          </w:p>
        </w:tc>
        <w:tc>
          <w:tcPr>
            <w:tcW w:w="148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2.6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-6</w:t>
            </w:r>
            <w:r>
              <w:rPr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66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NO3_daily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384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-0.4</w:t>
            </w:r>
          </w:p>
        </w:tc>
        <w:tc>
          <w:tcPr>
            <w:tcW w:w="120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-68</w:t>
            </w:r>
          </w:p>
        </w:tc>
        <w:tc>
          <w:tcPr>
            <w:tcW w:w="148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0.4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7</w:t>
            </w:r>
            <w:r>
              <w:rPr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-12</w:t>
            </w:r>
            <w:r>
              <w:rPr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2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13</w:t>
            </w:r>
            <w:r>
              <w:rPr>
                <w:sz w:val="20"/>
                <w:szCs w:val="20"/>
                <w:lang w:eastAsia="zh-CN"/>
              </w:rPr>
              <w:t>2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NH4_daily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84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2.4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-1.2</w:t>
            </w:r>
          </w:p>
        </w:tc>
        <w:tc>
          <w:tcPr>
            <w:tcW w:w="120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-5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8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1.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-59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60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EC_daily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0.3</w:t>
            </w:r>
          </w:p>
        </w:tc>
        <w:tc>
          <w:tcPr>
            <w:tcW w:w="120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6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8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0.3</w:t>
            </w:r>
            <w:r>
              <w:rPr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66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4</w:t>
            </w:r>
            <w:r>
              <w:rPr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2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</w:t>
            </w:r>
            <w:r>
              <w:rPr>
                <w:sz w:val="20"/>
                <w:szCs w:val="20"/>
                <w:lang w:eastAsia="zh-CN"/>
              </w:rPr>
              <w:t>1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OC_daily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3.2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-1.1</w:t>
            </w:r>
          </w:p>
        </w:tc>
        <w:tc>
          <w:tcPr>
            <w:tcW w:w="120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-3</w:t>
            </w:r>
            <w:r>
              <w:rPr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480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1.6</w:t>
            </w:r>
          </w:p>
        </w:tc>
        <w:tc>
          <w:tcPr>
            <w:tcW w:w="1176" w:type="dxa"/>
            <w:tcBorders>
              <w:top w:val="nil"/>
              <w:bottom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-25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</w:t>
            </w:r>
            <w:r>
              <w:rPr>
                <w:sz w:val="20"/>
                <w:szCs w:val="20"/>
                <w:lang w:eastAsia="zh-CN"/>
              </w:rPr>
              <w:t>4</w:t>
            </w:r>
          </w:p>
        </w:tc>
      </w:tr>
      <w:tr w:rsidR="007826D3" w:rsidRPr="009A2B5C" w:rsidTr="003F6C3B">
        <w:trPr>
          <w:trHeight w:val="255"/>
        </w:trPr>
        <w:tc>
          <w:tcPr>
            <w:tcW w:w="1439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rPr>
                <w:b/>
                <w:sz w:val="20"/>
                <w:szCs w:val="20"/>
                <w:lang w:eastAsia="zh-CN"/>
              </w:rPr>
            </w:pPr>
            <w:r w:rsidRPr="009A2B5C">
              <w:rPr>
                <w:b/>
                <w:sz w:val="20"/>
                <w:szCs w:val="20"/>
                <w:lang w:eastAsia="zh-CN"/>
              </w:rPr>
              <w:t>PM25_hourly</w:t>
            </w:r>
          </w:p>
        </w:tc>
        <w:tc>
          <w:tcPr>
            <w:tcW w:w="1176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10710</w:t>
            </w:r>
          </w:p>
        </w:tc>
        <w:tc>
          <w:tcPr>
            <w:tcW w:w="1384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14.2</w:t>
            </w:r>
          </w:p>
        </w:tc>
        <w:tc>
          <w:tcPr>
            <w:tcW w:w="1112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-3.6</w:t>
            </w:r>
          </w:p>
        </w:tc>
        <w:tc>
          <w:tcPr>
            <w:tcW w:w="1200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-25</w:t>
            </w:r>
          </w:p>
        </w:tc>
        <w:tc>
          <w:tcPr>
            <w:tcW w:w="1480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8.</w:t>
            </w:r>
            <w:r>
              <w:rPr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76" w:type="dxa"/>
            <w:tcBorders>
              <w:top w:val="nil"/>
            </w:tcBorders>
            <w:noWrap/>
            <w:vAlign w:val="bottom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5</w:t>
            </w:r>
            <w:r>
              <w:rPr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000" w:type="dxa"/>
            <w:tcBorders>
              <w:top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-</w:t>
            </w:r>
            <w:r>
              <w:rPr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120" w:type="dxa"/>
            <w:tcBorders>
              <w:top w:val="nil"/>
            </w:tcBorders>
            <w:noWrap/>
            <w:vAlign w:val="center"/>
          </w:tcPr>
          <w:p w:rsidR="007826D3" w:rsidRPr="009A2B5C" w:rsidRDefault="007826D3" w:rsidP="003F6C3B">
            <w:pPr>
              <w:jc w:val="right"/>
              <w:rPr>
                <w:sz w:val="20"/>
                <w:szCs w:val="20"/>
                <w:lang w:eastAsia="zh-CN"/>
              </w:rPr>
            </w:pPr>
            <w:r w:rsidRPr="009A2B5C">
              <w:rPr>
                <w:sz w:val="20"/>
                <w:szCs w:val="20"/>
                <w:lang w:eastAsia="zh-CN"/>
              </w:rPr>
              <w:t>69</w:t>
            </w:r>
          </w:p>
        </w:tc>
      </w:tr>
    </w:tbl>
    <w:p w:rsidR="007826D3" w:rsidRDefault="007826D3" w:rsidP="007826D3">
      <w:pPr>
        <w:autoSpaceDE w:val="0"/>
        <w:autoSpaceDN w:val="0"/>
        <w:adjustRightInd w:val="0"/>
        <w:spacing w:line="360" w:lineRule="auto"/>
      </w:pPr>
    </w:p>
    <w:p w:rsidR="007826D3" w:rsidRDefault="007826D3" w:rsidP="007826D3">
      <w:r>
        <w:br w:type="page"/>
      </w:r>
    </w:p>
    <w:p w:rsidR="007826D3" w:rsidRPr="00CC1AEE" w:rsidRDefault="007826D3" w:rsidP="007826D3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852682" cy="4903882"/>
            <wp:effectExtent l="19050" t="0" r="0" b="0"/>
            <wp:docPr id="3" name="图片 12" descr="D:\work\spring 2013\uncertainty\Figures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spring 2013\uncertainty\Figures\Figure s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16" cy="49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D3" w:rsidRPr="00253944" w:rsidRDefault="007826D3" w:rsidP="007826D3">
      <w:pPr>
        <w:spacing w:line="480" w:lineRule="auto"/>
      </w:pPr>
      <w:r>
        <w:t>Figure S1. Three nested CMAQ modeling domains including a mother domain with a 36-km horizontal resolution covering the entire continental U.S. and portions of Canada and Mexico, a middle domain with a 12-km horizontal resolution covering eastern Texas and the surrounding states of Oklahoma, Arkansas, and Louisiana, and a inner-most domain with a 4-km grid resolution covering southeastern Texas. The HGB area is highlighted as red.</w:t>
      </w: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>
            <wp:extent cx="4937760" cy="3685540"/>
            <wp:effectExtent l="19050" t="0" r="0" b="0"/>
            <wp:docPr id="74" name="图片 16" descr="figure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figure3_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D3" w:rsidRDefault="007826D3" w:rsidP="007826D3">
      <w:pPr>
        <w:spacing w:line="480" w:lineRule="auto"/>
      </w:pPr>
      <w:r>
        <w:t>Figure S2. Five AQS monitoring sites selected for comparison with PM</w:t>
      </w:r>
      <w:r w:rsidRPr="00B306C8">
        <w:rPr>
          <w:vertAlign w:val="subscript"/>
        </w:rPr>
        <w:t>2.5</w:t>
      </w:r>
      <w:r>
        <w:t xml:space="preserve"> simulation. The map is obtained from TCEQ's online map plotting tool Geographical Texas Air Monitoring (GeoTAM, available at </w:t>
      </w:r>
      <w:r w:rsidRPr="00C9684E">
        <w:t>http://tceq4apmgwebp1.tceq.texas.gov:8080/geotam/</w:t>
      </w:r>
      <w:r>
        <w:t>).</w:t>
      </w:r>
    </w:p>
    <w:p w:rsidR="007826D3" w:rsidRDefault="007826D3" w:rsidP="007826D3"/>
    <w:p w:rsidR="00466B05" w:rsidRDefault="00466B05">
      <w:r>
        <w:br w:type="page"/>
      </w:r>
    </w:p>
    <w:p w:rsidR="00F47B06" w:rsidRPr="00E81688" w:rsidRDefault="00466B05" w:rsidP="00E81688">
      <w:pPr>
        <w:spacing w:line="360" w:lineRule="auto"/>
        <w:jc w:val="center"/>
        <w:rPr>
          <w:b/>
        </w:rPr>
      </w:pPr>
      <w:r w:rsidRPr="00E81688">
        <w:rPr>
          <w:b/>
        </w:rPr>
        <w:lastRenderedPageBreak/>
        <w:t>Evaluation of RFM and DDM Sensitivities</w:t>
      </w:r>
    </w:p>
    <w:p w:rsidR="00033FA1" w:rsidRDefault="00033FA1" w:rsidP="00CB0764">
      <w:pPr>
        <w:spacing w:line="360" w:lineRule="auto"/>
      </w:pPr>
    </w:p>
    <w:p w:rsidR="009F5384" w:rsidRDefault="00482EC5" w:rsidP="00CB0764">
      <w:pPr>
        <w:spacing w:line="360" w:lineRule="auto"/>
      </w:pPr>
      <w:r>
        <w:t xml:space="preserve">The RFM is evaluated by comparing the </w:t>
      </w:r>
      <w:r w:rsidR="00CB0764">
        <w:t>PM</w:t>
      </w:r>
      <w:r w:rsidR="00CB0764" w:rsidRPr="00892862">
        <w:rPr>
          <w:vertAlign w:val="subscript"/>
        </w:rPr>
        <w:t>2.5</w:t>
      </w:r>
      <w:r w:rsidR="00CB0764">
        <w:t xml:space="preserve"> concentration simulated by the RFM and the original CMAQ model at 10%, 50%, and 100% reduction in SO</w:t>
      </w:r>
      <w:r w:rsidR="00CB0764" w:rsidRPr="001A47AB">
        <w:rPr>
          <w:vertAlign w:val="subscript"/>
        </w:rPr>
        <w:t>2</w:t>
      </w:r>
      <w:r w:rsidR="00CB0764">
        <w:t>, NO</w:t>
      </w:r>
      <w:r w:rsidR="00CB0764" w:rsidRPr="001A47AB">
        <w:rPr>
          <w:vertAlign w:val="subscript"/>
        </w:rPr>
        <w:t>x</w:t>
      </w:r>
      <w:r w:rsidR="00CB0764">
        <w:t>, NH</w:t>
      </w:r>
      <w:r w:rsidR="00CB0764" w:rsidRPr="001A47AB">
        <w:rPr>
          <w:vertAlign w:val="subscript"/>
        </w:rPr>
        <w:t>3</w:t>
      </w:r>
      <w:r w:rsidR="00CB0764">
        <w:t>, and VOC emissions (Figure S3).  The field plotted in Figure S3 is daily average PM</w:t>
      </w:r>
      <w:r w:rsidR="00CB0764" w:rsidRPr="009F5384">
        <w:rPr>
          <w:vertAlign w:val="subscript"/>
        </w:rPr>
        <w:t>2.5</w:t>
      </w:r>
      <w:r w:rsidR="00CB0764">
        <w:t xml:space="preserve"> concentrations at the five monitors used in Figure 5 in the main text.  </w:t>
      </w:r>
      <w:r w:rsidR="002578D8">
        <w:t xml:space="preserve">Both the slope of the linear regression and </w:t>
      </w:r>
      <w:r w:rsidR="002578D8" w:rsidRPr="002578D8">
        <w:rPr>
          <w:i/>
        </w:rPr>
        <w:t>R</w:t>
      </w:r>
      <w:r w:rsidR="002578D8" w:rsidRPr="002578D8">
        <w:rPr>
          <w:i/>
          <w:vertAlign w:val="superscript"/>
        </w:rPr>
        <w:t>2</w:t>
      </w:r>
      <w:r w:rsidR="002578D8">
        <w:t xml:space="preserve"> is close to one, indicating an excellent agreement between the RFM and the original CMAQ.</w:t>
      </w:r>
    </w:p>
    <w:p w:rsidR="009F5384" w:rsidRDefault="009F5384" w:rsidP="00CB0764">
      <w:pPr>
        <w:spacing w:line="360" w:lineRule="auto"/>
      </w:pPr>
    </w:p>
    <w:p w:rsidR="00482EC5" w:rsidRDefault="00A54FCF" w:rsidP="00CB0764">
      <w:pPr>
        <w:spacing w:line="360" w:lineRule="auto"/>
      </w:pPr>
      <w:r>
        <w:t>First-order DDM sensitivities are evaluated by comparing to brute force (BF) sensitivities calculated using the following methods:</w:t>
      </w:r>
    </w:p>
    <w:p w:rsidR="00A54FCF" w:rsidRDefault="00A54FCF" w:rsidP="00A54FCF">
      <w:pPr>
        <w:pStyle w:val="ListParagraph"/>
        <w:numPr>
          <w:ilvl w:val="0"/>
          <w:numId w:val="2"/>
        </w:numPr>
        <w:spacing w:line="360" w:lineRule="auto"/>
      </w:pPr>
      <w:r>
        <w:t xml:space="preserve">Forward finite difference (FD) </w:t>
      </w:r>
      <w:r w:rsidR="000E5F10">
        <w:t xml:space="preserve">(Eq. S1) </w:t>
      </w:r>
      <w:r>
        <w:t>with 50% perturbation in emissions,</w:t>
      </w:r>
    </w:p>
    <w:p w:rsidR="00794EA8" w:rsidRDefault="004862EC" w:rsidP="00794EA8">
      <w:pPr>
        <w:pStyle w:val="ListParagraph"/>
        <w:spacing w:line="360" w:lineRule="auto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BF</m:t>
            </m:r>
          </m:sub>
          <m:sup>
            <m:r>
              <w:rPr>
                <w:rFonts w:ascii="Cambria Math" w:hAnsi="Cambria Math"/>
              </w:rPr>
              <m:t>(1)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E+∆E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</w:rPr>
              <m:t>∆E</m:t>
            </m:r>
          </m:den>
        </m:f>
        <m:r>
          <w:rPr>
            <w:rFonts w:ascii="Cambria Math" w:hAnsi="Cambria Math"/>
          </w:rPr>
          <m:t xml:space="preserve"> </m:t>
        </m:r>
      </m:oMath>
      <w:r w:rsidR="00345C31">
        <w:t xml:space="preserve"> (</w:t>
      </w:r>
      <w:r w:rsidR="000E5F10">
        <w:t>S</w:t>
      </w:r>
      <w:r w:rsidR="00345C31">
        <w:t>1)</w:t>
      </w:r>
    </w:p>
    <w:p w:rsidR="00A54FCF" w:rsidRDefault="00A54FCF" w:rsidP="00A54FCF">
      <w:pPr>
        <w:pStyle w:val="ListParagraph"/>
        <w:numPr>
          <w:ilvl w:val="0"/>
          <w:numId w:val="2"/>
        </w:numPr>
        <w:spacing w:line="360" w:lineRule="auto"/>
      </w:pPr>
      <w:r>
        <w:t xml:space="preserve">Central FD </w:t>
      </w:r>
      <w:r w:rsidR="000E5F10">
        <w:t xml:space="preserve">(Eq. S2) </w:t>
      </w:r>
      <w:r>
        <w:t>with 50% perturbation in emissions,</w:t>
      </w:r>
    </w:p>
    <w:p w:rsidR="00345C31" w:rsidRDefault="004862EC" w:rsidP="00345C31">
      <w:pPr>
        <w:pStyle w:val="ListParagraph"/>
        <w:spacing w:line="360" w:lineRule="auto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BF</m:t>
            </m:r>
          </m:sub>
          <m:sup>
            <m:r>
              <w:rPr>
                <w:rFonts w:ascii="Cambria Math" w:hAnsi="Cambria Math"/>
              </w:rPr>
              <m:t>(1)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E+∆E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E-∆E</m:t>
                </m:r>
              </m:sub>
            </m:sSub>
          </m:num>
          <m:den>
            <m:r>
              <w:rPr>
                <w:rFonts w:ascii="Cambria Math" w:hAnsi="Cambria Math"/>
              </w:rPr>
              <m:t>2×∆E</m:t>
            </m:r>
          </m:den>
        </m:f>
        <m:r>
          <w:rPr>
            <w:rFonts w:ascii="Cambria Math" w:hAnsi="Cambria Math"/>
          </w:rPr>
          <m:t xml:space="preserve"> </m:t>
        </m:r>
      </m:oMath>
      <w:r w:rsidR="00345C31">
        <w:t xml:space="preserve"> (</w:t>
      </w:r>
      <w:r w:rsidR="000E5F10">
        <w:t>S</w:t>
      </w:r>
      <w:r w:rsidR="00345C31">
        <w:t>2)</w:t>
      </w:r>
    </w:p>
    <w:p w:rsidR="00A54FCF" w:rsidRDefault="00A54FCF" w:rsidP="00A54FCF">
      <w:pPr>
        <w:pStyle w:val="ListParagraph"/>
        <w:numPr>
          <w:ilvl w:val="0"/>
          <w:numId w:val="2"/>
        </w:numPr>
        <w:spacing w:line="360" w:lineRule="auto"/>
      </w:pPr>
      <w:r>
        <w:t xml:space="preserve">Backward FD </w:t>
      </w:r>
      <w:r w:rsidR="000E5F10">
        <w:t xml:space="preserve">(Eq. S3) </w:t>
      </w:r>
      <w:r>
        <w:t>with 50% perturbation in emissions, and</w:t>
      </w:r>
    </w:p>
    <w:p w:rsidR="00345C31" w:rsidRDefault="004862EC" w:rsidP="00345C31">
      <w:pPr>
        <w:pStyle w:val="ListParagraph"/>
        <w:spacing w:line="360" w:lineRule="auto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BF</m:t>
            </m:r>
          </m:sub>
          <m:sup>
            <m:r>
              <w:rPr>
                <w:rFonts w:ascii="Cambria Math" w:hAnsi="Cambria Math"/>
              </w:rPr>
              <m:t>(1)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E-∆E</m:t>
                </m:r>
              </m:sub>
            </m:sSub>
          </m:num>
          <m:den>
            <m:r>
              <w:rPr>
                <w:rFonts w:ascii="Cambria Math" w:hAnsi="Cambria Math"/>
              </w:rPr>
              <m:t>∆E</m:t>
            </m:r>
          </m:den>
        </m:f>
        <m:r>
          <w:rPr>
            <w:rFonts w:ascii="Cambria Math" w:hAnsi="Cambria Math"/>
          </w:rPr>
          <m:t xml:space="preserve"> </m:t>
        </m:r>
      </m:oMath>
      <w:r w:rsidR="00345C31">
        <w:t xml:space="preserve"> (</w:t>
      </w:r>
      <w:r w:rsidR="000E5F10">
        <w:t>S</w:t>
      </w:r>
      <w:r w:rsidR="00345C31">
        <w:t>3)</w:t>
      </w:r>
    </w:p>
    <w:p w:rsidR="00A54FCF" w:rsidRDefault="00794EA8" w:rsidP="00A54FCF">
      <w:pPr>
        <w:pStyle w:val="ListParagraph"/>
        <w:numPr>
          <w:ilvl w:val="0"/>
          <w:numId w:val="2"/>
        </w:numPr>
        <w:spacing w:line="360" w:lineRule="auto"/>
      </w:pPr>
      <w:r>
        <w:t xml:space="preserve">Central FD </w:t>
      </w:r>
      <w:r w:rsidR="001A47AB">
        <w:t xml:space="preserve">(Eq. S2) </w:t>
      </w:r>
      <w:r>
        <w:t>with 10% perturbation in emissions.</w:t>
      </w:r>
    </w:p>
    <w:p w:rsidR="000E5F10" w:rsidRDefault="000E5F10" w:rsidP="000E5F10">
      <w:pPr>
        <w:spacing w:line="360" w:lineRule="auto"/>
      </w:pPr>
    </w:p>
    <w:p w:rsidR="000E5F10" w:rsidRDefault="000E5F10" w:rsidP="000E5F10">
      <w:pPr>
        <w:spacing w:line="360" w:lineRule="auto"/>
        <w:rPr>
          <w:sz w:val="22"/>
          <w:szCs w:val="22"/>
          <w:shd w:val="clear" w:color="auto" w:fill="FFFFFF"/>
          <w:lang w:eastAsia="zh-CN"/>
        </w:rPr>
      </w:pPr>
      <w:r>
        <w:t>Figure S4 shows the comparison of daily averaged first-order sensitivities to SO</w:t>
      </w:r>
      <w:r w:rsidRPr="001A47AB">
        <w:rPr>
          <w:vertAlign w:val="subscript"/>
        </w:rPr>
        <w:t>2</w:t>
      </w:r>
      <w:r>
        <w:t>, NO</w:t>
      </w:r>
      <w:r w:rsidRPr="001A47AB">
        <w:rPr>
          <w:vertAlign w:val="subscript"/>
        </w:rPr>
        <w:t>x</w:t>
      </w:r>
      <w:r>
        <w:t>, NH</w:t>
      </w:r>
      <w:r w:rsidRPr="001A47AB">
        <w:rPr>
          <w:vertAlign w:val="subscript"/>
        </w:rPr>
        <w:t>3</w:t>
      </w:r>
      <w:r>
        <w:t>, and VOC at the five monitors calculated by CMAQ-HDDM</w:t>
      </w:r>
      <w:r w:rsidR="00E81688">
        <w:t xml:space="preserve"> and the above four BF methods.  </w:t>
      </w:r>
      <w:r w:rsidR="00F13D68">
        <w:t xml:space="preserve">Inconsistency was found for BF sensitivities, so cautions should be taken when evaluating the DDM sensitivities with the BF ones.  </w:t>
      </w:r>
      <w:r w:rsidR="00E275E6">
        <w:t>First-</w:t>
      </w:r>
      <w:r w:rsidR="00F13D68">
        <w:t xml:space="preserve">order BF sensitivities calculated by forward, backward, and central FD </w:t>
      </w:r>
      <w:r w:rsidR="00E275E6">
        <w:t xml:space="preserve">show inconsistency for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3</m:t>
                </m:r>
              </m:sub>
            </m:sSub>
          </m:den>
        </m:f>
      </m:oMath>
      <w:r w:rsidR="00E275E6">
        <w:rPr>
          <w:sz w:val="22"/>
          <w:szCs w:val="22"/>
          <w:shd w:val="clear" w:color="auto" w:fill="FFFFFF"/>
        </w:rPr>
        <w:t xml:space="preserve">, </w:t>
      </w:r>
      <w:r w:rsidR="00E275E6" w:rsidRPr="00466B05">
        <w:rPr>
          <w:sz w:val="22"/>
          <w:szCs w:val="22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x</m:t>
                </m:r>
              </m:sub>
            </m:sSub>
          </m:den>
        </m:f>
      </m:oMath>
      <w:r w:rsidR="00E275E6">
        <w:rPr>
          <w:sz w:val="22"/>
          <w:szCs w:val="22"/>
          <w:shd w:val="clear" w:color="auto" w:fill="FFFFFF"/>
        </w:rPr>
        <w:t>, and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∂VOC</m:t>
            </m:r>
          </m:den>
        </m:f>
      </m:oMath>
      <w:r w:rsidR="00C85586">
        <w:rPr>
          <w:sz w:val="22"/>
          <w:szCs w:val="22"/>
          <w:shd w:val="clear" w:color="auto" w:fill="FFFFFF"/>
          <w:lang w:eastAsia="zh-CN"/>
        </w:rPr>
        <w:t xml:space="preserve">.  </w:t>
      </w:r>
      <w:r w:rsidR="00F96D4F">
        <w:rPr>
          <w:sz w:val="22"/>
          <w:szCs w:val="22"/>
          <w:shd w:val="clear" w:color="auto" w:fill="FFFFFF"/>
          <w:lang w:eastAsia="zh-CN"/>
        </w:rPr>
        <w:t xml:space="preserve">DDM sensitivities </w:t>
      </w:r>
      <w:r w:rsidR="00571221">
        <w:rPr>
          <w:sz w:val="22"/>
          <w:szCs w:val="22"/>
          <w:shd w:val="clear" w:color="auto" w:fill="FFFFFF"/>
          <w:lang w:eastAsia="zh-CN"/>
        </w:rPr>
        <w:t>tu</w:t>
      </w:r>
      <w:r w:rsidR="00E71129">
        <w:rPr>
          <w:sz w:val="22"/>
          <w:szCs w:val="22"/>
          <w:shd w:val="clear" w:color="auto" w:fill="FFFFFF"/>
          <w:lang w:eastAsia="zh-CN"/>
        </w:rPr>
        <w:t xml:space="preserve">rn out to be consistent with one or two of the BF sensitivities.  For example,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3</m:t>
                </m:r>
              </m:sub>
            </m:sSub>
          </m:den>
        </m:f>
      </m:oMath>
      <w:r w:rsidR="00E71129">
        <w:rPr>
          <w:sz w:val="22"/>
          <w:szCs w:val="22"/>
          <w:shd w:val="clear" w:color="auto" w:fill="FFFFFF"/>
          <w:lang w:eastAsia="zh-CN"/>
        </w:rPr>
        <w:t xml:space="preserve"> calculated by DDM is closer to the value calculated by backward FD;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∂VOC</m:t>
            </m:r>
          </m:den>
        </m:f>
      </m:oMath>
      <w:r w:rsidR="00E71129">
        <w:rPr>
          <w:sz w:val="22"/>
          <w:szCs w:val="22"/>
          <w:shd w:val="clear" w:color="auto" w:fill="FFFFFF"/>
          <w:lang w:eastAsia="zh-CN"/>
        </w:rPr>
        <w:t xml:space="preserve"> calculated by DDM is closer to the value calculated by forward BF.</w:t>
      </w:r>
      <w:r w:rsidR="00900E19">
        <w:rPr>
          <w:sz w:val="22"/>
          <w:szCs w:val="22"/>
          <w:shd w:val="clear" w:color="auto" w:fill="FFFFFF"/>
          <w:lang w:eastAsia="zh-CN"/>
        </w:rPr>
        <w:t xml:space="preserve">  The perturbation size appears not impact the BF </w:t>
      </w:r>
      <w:r w:rsidR="00206951">
        <w:rPr>
          <w:sz w:val="22"/>
          <w:szCs w:val="22"/>
          <w:shd w:val="clear" w:color="auto" w:fill="FFFFFF"/>
          <w:lang w:eastAsia="zh-CN"/>
        </w:rPr>
        <w:t xml:space="preserve">first-order </w:t>
      </w:r>
      <w:r w:rsidR="00900E19">
        <w:rPr>
          <w:sz w:val="22"/>
          <w:szCs w:val="22"/>
          <w:shd w:val="clear" w:color="auto" w:fill="FFFFFF"/>
          <w:lang w:eastAsia="zh-CN"/>
        </w:rPr>
        <w:t>sensitivity to a large extent except BF sensitivity of PM</w:t>
      </w:r>
      <w:r w:rsidR="00900E19" w:rsidRPr="001A47AB">
        <w:rPr>
          <w:sz w:val="22"/>
          <w:szCs w:val="22"/>
          <w:shd w:val="clear" w:color="auto" w:fill="FFFFFF"/>
          <w:vertAlign w:val="subscript"/>
          <w:lang w:eastAsia="zh-CN"/>
        </w:rPr>
        <w:t>2.5</w:t>
      </w:r>
      <w:r w:rsidR="00900E19">
        <w:rPr>
          <w:sz w:val="22"/>
          <w:szCs w:val="22"/>
          <w:shd w:val="clear" w:color="auto" w:fill="FFFFFF"/>
          <w:lang w:eastAsia="zh-CN"/>
        </w:rPr>
        <w:t xml:space="preserve"> to VOC.  </w:t>
      </w:r>
      <w:r w:rsidR="00206951">
        <w:rPr>
          <w:sz w:val="22"/>
          <w:szCs w:val="22"/>
          <w:shd w:val="clear" w:color="auto" w:fill="FFFFFF"/>
          <w:lang w:eastAsia="zh-CN"/>
        </w:rPr>
        <w:t>Changing the perturbation size from 50% to 10% ended up a six time difference of the BF sensitivities calculated by central FD.</w:t>
      </w:r>
    </w:p>
    <w:p w:rsidR="00E71129" w:rsidRDefault="00E71129" w:rsidP="000E5F10">
      <w:pPr>
        <w:spacing w:line="360" w:lineRule="auto"/>
        <w:rPr>
          <w:sz w:val="22"/>
          <w:szCs w:val="22"/>
          <w:shd w:val="clear" w:color="auto" w:fill="FFFFFF"/>
          <w:lang w:eastAsia="zh-CN"/>
        </w:rPr>
      </w:pPr>
    </w:p>
    <w:p w:rsidR="00E71129" w:rsidRDefault="00E71129" w:rsidP="000E5F10">
      <w:pPr>
        <w:spacing w:line="360" w:lineRule="auto"/>
      </w:pPr>
      <w:r>
        <w:rPr>
          <w:sz w:val="22"/>
          <w:szCs w:val="22"/>
          <w:shd w:val="clear" w:color="auto" w:fill="FFFFFF"/>
          <w:lang w:eastAsia="zh-CN"/>
        </w:rPr>
        <w:lastRenderedPageBreak/>
        <w:t xml:space="preserve">Second-order DDM </w:t>
      </w:r>
      <w:r w:rsidR="00A80A65">
        <w:rPr>
          <w:sz w:val="22"/>
          <w:szCs w:val="22"/>
          <w:shd w:val="clear" w:color="auto" w:fill="FFFFFF"/>
          <w:lang w:eastAsia="zh-CN"/>
        </w:rPr>
        <w:t>sensitivities</w:t>
      </w:r>
      <w:r>
        <w:rPr>
          <w:sz w:val="22"/>
          <w:szCs w:val="22"/>
          <w:shd w:val="clear" w:color="auto" w:fill="FFFFFF"/>
          <w:lang w:eastAsia="zh-CN"/>
        </w:rPr>
        <w:t xml:space="preserve"> of PM</w:t>
      </w:r>
      <w:r w:rsidRPr="001A47AB">
        <w:rPr>
          <w:sz w:val="22"/>
          <w:szCs w:val="22"/>
          <w:shd w:val="clear" w:color="auto" w:fill="FFFFFF"/>
          <w:vertAlign w:val="subscript"/>
          <w:lang w:eastAsia="zh-CN"/>
        </w:rPr>
        <w:t>2.5</w:t>
      </w:r>
      <w:r>
        <w:rPr>
          <w:sz w:val="22"/>
          <w:szCs w:val="22"/>
          <w:shd w:val="clear" w:color="auto" w:fill="FFFFFF"/>
          <w:lang w:eastAsia="zh-CN"/>
        </w:rPr>
        <w:t xml:space="preserve"> to </w:t>
      </w:r>
      <w:r>
        <w:t>SO</w:t>
      </w:r>
      <w:r w:rsidRPr="001A47AB">
        <w:rPr>
          <w:vertAlign w:val="subscript"/>
        </w:rPr>
        <w:t>2</w:t>
      </w:r>
      <w:r>
        <w:t>, NO</w:t>
      </w:r>
      <w:r w:rsidRPr="001A47AB">
        <w:rPr>
          <w:vertAlign w:val="subscript"/>
        </w:rPr>
        <w:t>x</w:t>
      </w:r>
      <w:r>
        <w:t>, NH</w:t>
      </w:r>
      <w:r w:rsidRPr="001A47AB">
        <w:rPr>
          <w:vertAlign w:val="subscript"/>
        </w:rPr>
        <w:t>3</w:t>
      </w:r>
      <w:r>
        <w:t>, and VOC at the five monitors</w:t>
      </w:r>
      <w:r w:rsidR="00A80A65">
        <w:t xml:space="preserve"> are also compared to BF values.  However, second-order BF sensitivities are even noisy.  </w:t>
      </w:r>
      <w:r w:rsidR="008A32EF">
        <w:t>Central FD of second-orde</w:t>
      </w:r>
      <w:r w:rsidR="00CF2D1B">
        <w:t>r sensitivities</w:t>
      </w:r>
      <w:r w:rsidR="00426074">
        <w:t xml:space="preserve"> (Eq. S4)</w:t>
      </w:r>
      <w:r w:rsidR="00CF2D1B">
        <w:t xml:space="preserve"> with emission perturbation of 10% and 50% are compared in Figure S5, and </w:t>
      </w:r>
      <w:r w:rsidR="00426074">
        <w:t>no consistency can be found between the two BF sensitivities.</w:t>
      </w:r>
      <w:r w:rsidR="00C20830">
        <w:t xml:space="preserve">  This shows the highly noisy behavior of BF method to approximate the high-order sensitivity, and also it is unknown which BF sensitivity is closer to the true value.  Thus, the</w:t>
      </w:r>
      <w:r w:rsidR="001412B0">
        <w:t xml:space="preserve"> comparison of second-or</w:t>
      </w:r>
      <w:r w:rsidR="00C20830">
        <w:t xml:space="preserve">der DDM sensitivities with </w:t>
      </w:r>
      <w:r w:rsidR="001412B0">
        <w:t>BF sensitivities</w:t>
      </w:r>
      <w:r w:rsidR="00B92B77">
        <w:t xml:space="preserve"> seems not a good way to evaluate </w:t>
      </w:r>
      <w:r w:rsidR="00415BE2">
        <w:t>CMAQ DDM sensitivities.  However, given the good performance of DDM in predicting second-order sensitivities in the stand-alone ISORROPIA (which has les</w:t>
      </w:r>
      <w:r w:rsidR="001A47AB">
        <w:t>s noise in BF second-order sensi</w:t>
      </w:r>
      <w:r w:rsidR="00415BE2">
        <w:t>tiv</w:t>
      </w:r>
      <w:r w:rsidR="001A47AB">
        <w:t>iti</w:t>
      </w:r>
      <w:r w:rsidR="00415BE2">
        <w:t>es than CMAQ) (Zhang et al., 2012), and that the good performance of RFM shown in Figure S3, DDM is more likely to provide reliable second-order sensitivities</w:t>
      </w:r>
      <w:r w:rsidR="00D73A39">
        <w:t xml:space="preserve"> than BF</w:t>
      </w:r>
      <w:r w:rsidR="00415BE2">
        <w:t xml:space="preserve">.  </w:t>
      </w:r>
    </w:p>
    <w:p w:rsidR="00A556DE" w:rsidRDefault="00A556DE" w:rsidP="000E5F10">
      <w:pPr>
        <w:spacing w:line="360" w:lineRule="auto"/>
      </w:pPr>
    </w:p>
    <w:p w:rsidR="007155DE" w:rsidRPr="00337E2D" w:rsidRDefault="004862EC" w:rsidP="00337E2D">
      <w:pPr>
        <w:pStyle w:val="ListParagraph"/>
        <w:spacing w:line="360" w:lineRule="auto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BF</m:t>
            </m:r>
          </m:sub>
          <m:sup>
            <m:r>
              <w:rPr>
                <w:rFonts w:ascii="Cambria Math" w:hAnsi="Cambria Math"/>
              </w:rPr>
              <m:t>(2)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E+∆E</m:t>
                </m:r>
              </m:sub>
            </m:sSub>
            <m:r>
              <w:rPr>
                <w:rFonts w:ascii="Cambria Math" w:hAnsi="Cambria Math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E-∆E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∆E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</m:t>
        </m:r>
      </m:oMath>
      <w:r w:rsidR="00CF2D1B">
        <w:t xml:space="preserve"> (S4)</w:t>
      </w:r>
    </w:p>
    <w:p w:rsidR="007155DE" w:rsidRDefault="007155DE" w:rsidP="007612AE">
      <w:pPr>
        <w:spacing w:line="360" w:lineRule="auto"/>
        <w:ind w:left="720"/>
        <w:rPr>
          <w:i/>
          <w:shd w:val="clear" w:color="auto" w:fill="FFFFFF"/>
        </w:rPr>
      </w:pPr>
    </w:p>
    <w:p w:rsidR="007612AE" w:rsidRPr="00B772C7" w:rsidRDefault="007155DE" w:rsidP="007155DE">
      <w:pPr>
        <w:spacing w:line="360" w:lineRule="auto"/>
        <w:rPr>
          <w:i/>
          <w:shd w:val="clear" w:color="auto" w:fill="FFFFFF"/>
        </w:rPr>
      </w:pPr>
      <w:r>
        <w:rPr>
          <w:i/>
          <w:shd w:val="clear" w:color="auto" w:fill="FFFFFF"/>
        </w:rPr>
        <w:t>T</w:t>
      </w:r>
      <w:r w:rsidR="00337E2D">
        <w:rPr>
          <w:i/>
          <w:shd w:val="clear" w:color="auto" w:fill="FFFFFF"/>
        </w:rPr>
        <w:t>he first-order sensitivities</w:t>
      </w:r>
      <w:r w:rsidR="007612AE" w:rsidRPr="00B772C7">
        <w:rPr>
          <w:i/>
          <w:shd w:val="clear" w:color="auto" w:fill="FFFFFF"/>
        </w:rPr>
        <w:t xml:space="preserve"> of PM</w:t>
      </w:r>
      <w:r w:rsidR="007612AE" w:rsidRPr="00F83E4E">
        <w:rPr>
          <w:i/>
          <w:shd w:val="clear" w:color="auto" w:fill="FFFFFF"/>
          <w:vertAlign w:val="subscript"/>
        </w:rPr>
        <w:t>2.5</w:t>
      </w:r>
      <w:r w:rsidR="007612AE" w:rsidRPr="00B772C7">
        <w:rPr>
          <w:i/>
          <w:shd w:val="clear" w:color="auto" w:fill="FFFFFF"/>
        </w:rPr>
        <w:t xml:space="preserve"> to SO</w:t>
      </w:r>
      <w:r w:rsidR="007612AE" w:rsidRPr="00F83E4E">
        <w:rPr>
          <w:i/>
          <w:shd w:val="clear" w:color="auto" w:fill="FFFFFF"/>
          <w:vertAlign w:val="subscript"/>
        </w:rPr>
        <w:t>2</w:t>
      </w:r>
      <w:r w:rsidR="007612AE" w:rsidRPr="00B772C7">
        <w:rPr>
          <w:i/>
          <w:shd w:val="clear" w:color="auto" w:fill="FFFFFF"/>
        </w:rPr>
        <w:t xml:space="preserve"> calculated by the RFM and the original CMAQ model </w:t>
      </w:r>
      <w:r w:rsidR="00337E2D">
        <w:rPr>
          <w:i/>
          <w:shd w:val="clear" w:color="auto" w:fill="FFFFFF"/>
        </w:rPr>
        <w:t>were also compared using</w:t>
      </w:r>
      <w:r w:rsidR="007612AE" w:rsidRPr="00B772C7">
        <w:rPr>
          <w:i/>
          <w:shd w:val="clear" w:color="auto" w:fill="FFFFFF"/>
        </w:rPr>
        <w:t xml:space="preserve"> the following emission changes:</w:t>
      </w:r>
    </w:p>
    <w:p w:rsidR="007612AE" w:rsidRPr="00B772C7" w:rsidRDefault="007612AE" w:rsidP="007612AE">
      <w:pPr>
        <w:spacing w:line="360" w:lineRule="auto"/>
        <w:ind w:left="1440"/>
        <w:rPr>
          <w:i/>
          <w:shd w:val="clear" w:color="auto" w:fill="FFFFFF"/>
        </w:rPr>
      </w:pPr>
      <w:r w:rsidRPr="00B772C7">
        <w:rPr>
          <w:i/>
          <w:shd w:val="clear" w:color="auto" w:fill="FFFFFF"/>
        </w:rPr>
        <w:t>a) +50% NO</w:t>
      </w:r>
      <w:r w:rsidRPr="00B772C7">
        <w:rPr>
          <w:i/>
          <w:shd w:val="clear" w:color="auto" w:fill="FFFFFF"/>
          <w:vertAlign w:val="subscript"/>
        </w:rPr>
        <w:t>x</w:t>
      </w:r>
      <w:r w:rsidRPr="00B772C7">
        <w:rPr>
          <w:i/>
          <w:shd w:val="clear" w:color="auto" w:fill="FFFFFF"/>
        </w:rPr>
        <w:t>, +50% NH</w:t>
      </w:r>
      <w:r w:rsidRPr="00B772C7">
        <w:rPr>
          <w:i/>
          <w:shd w:val="clear" w:color="auto" w:fill="FFFFFF"/>
          <w:vertAlign w:val="subscript"/>
        </w:rPr>
        <w:t>3</w:t>
      </w:r>
    </w:p>
    <w:p w:rsidR="007612AE" w:rsidRPr="00B772C7" w:rsidRDefault="007612AE" w:rsidP="007612AE">
      <w:pPr>
        <w:spacing w:line="360" w:lineRule="auto"/>
        <w:ind w:left="1440"/>
        <w:rPr>
          <w:i/>
          <w:shd w:val="clear" w:color="auto" w:fill="FFFFFF"/>
        </w:rPr>
      </w:pPr>
      <w:r w:rsidRPr="00B772C7">
        <w:rPr>
          <w:i/>
          <w:shd w:val="clear" w:color="auto" w:fill="FFFFFF"/>
        </w:rPr>
        <w:t>b) +50% NO</w:t>
      </w:r>
      <w:r w:rsidRPr="00B772C7">
        <w:rPr>
          <w:i/>
          <w:shd w:val="clear" w:color="auto" w:fill="FFFFFF"/>
          <w:vertAlign w:val="subscript"/>
        </w:rPr>
        <w:t>x</w:t>
      </w:r>
      <w:r w:rsidRPr="00B772C7">
        <w:rPr>
          <w:i/>
          <w:shd w:val="clear" w:color="auto" w:fill="FFFFFF"/>
        </w:rPr>
        <w:t>, -50% NH</w:t>
      </w:r>
      <w:r w:rsidRPr="00B772C7">
        <w:rPr>
          <w:i/>
          <w:shd w:val="clear" w:color="auto" w:fill="FFFFFF"/>
          <w:vertAlign w:val="subscript"/>
        </w:rPr>
        <w:t>3</w:t>
      </w:r>
    </w:p>
    <w:p w:rsidR="007612AE" w:rsidRPr="00B772C7" w:rsidRDefault="007612AE" w:rsidP="007612AE">
      <w:pPr>
        <w:spacing w:line="360" w:lineRule="auto"/>
        <w:ind w:left="1440"/>
        <w:rPr>
          <w:i/>
          <w:shd w:val="clear" w:color="auto" w:fill="FFFFFF"/>
        </w:rPr>
      </w:pPr>
      <w:r w:rsidRPr="00B772C7">
        <w:rPr>
          <w:i/>
          <w:shd w:val="clear" w:color="auto" w:fill="FFFFFF"/>
        </w:rPr>
        <w:t>c)</w:t>
      </w:r>
      <w:r>
        <w:rPr>
          <w:i/>
          <w:shd w:val="clear" w:color="auto" w:fill="FFFFFF"/>
        </w:rPr>
        <w:t xml:space="preserve"> </w:t>
      </w:r>
      <w:r w:rsidRPr="00B772C7">
        <w:rPr>
          <w:i/>
          <w:shd w:val="clear" w:color="auto" w:fill="FFFFFF"/>
        </w:rPr>
        <w:t xml:space="preserve"> -50% NO</w:t>
      </w:r>
      <w:r w:rsidRPr="00B772C7">
        <w:rPr>
          <w:i/>
          <w:shd w:val="clear" w:color="auto" w:fill="FFFFFF"/>
          <w:vertAlign w:val="subscript"/>
        </w:rPr>
        <w:t>x</w:t>
      </w:r>
      <w:r w:rsidRPr="00B772C7">
        <w:rPr>
          <w:i/>
          <w:shd w:val="clear" w:color="auto" w:fill="FFFFFF"/>
        </w:rPr>
        <w:t xml:space="preserve">, </w:t>
      </w:r>
      <w:r>
        <w:rPr>
          <w:i/>
          <w:shd w:val="clear" w:color="auto" w:fill="FFFFFF"/>
        </w:rPr>
        <w:t xml:space="preserve"> </w:t>
      </w:r>
      <w:r w:rsidRPr="00B772C7">
        <w:rPr>
          <w:i/>
          <w:shd w:val="clear" w:color="auto" w:fill="FFFFFF"/>
        </w:rPr>
        <w:t>-50% NH</w:t>
      </w:r>
      <w:r w:rsidRPr="00B772C7">
        <w:rPr>
          <w:i/>
          <w:shd w:val="clear" w:color="auto" w:fill="FFFFFF"/>
          <w:vertAlign w:val="subscript"/>
        </w:rPr>
        <w:t>3</w:t>
      </w:r>
    </w:p>
    <w:p w:rsidR="007612AE" w:rsidRPr="00B772C7" w:rsidRDefault="007612AE" w:rsidP="007612AE">
      <w:pPr>
        <w:spacing w:line="360" w:lineRule="auto"/>
        <w:ind w:left="1440"/>
        <w:rPr>
          <w:i/>
          <w:shd w:val="clear" w:color="auto" w:fill="FFFFFF"/>
        </w:rPr>
      </w:pPr>
      <w:r w:rsidRPr="00B772C7">
        <w:rPr>
          <w:i/>
          <w:shd w:val="clear" w:color="auto" w:fill="FFFFFF"/>
        </w:rPr>
        <w:t xml:space="preserve">d) </w:t>
      </w:r>
      <w:r>
        <w:rPr>
          <w:i/>
          <w:shd w:val="clear" w:color="auto" w:fill="FFFFFF"/>
        </w:rPr>
        <w:t xml:space="preserve"> </w:t>
      </w:r>
      <w:r w:rsidRPr="00B772C7">
        <w:rPr>
          <w:i/>
          <w:shd w:val="clear" w:color="auto" w:fill="FFFFFF"/>
        </w:rPr>
        <w:t>-50% NO</w:t>
      </w:r>
      <w:r w:rsidRPr="00B772C7">
        <w:rPr>
          <w:i/>
          <w:shd w:val="clear" w:color="auto" w:fill="FFFFFF"/>
          <w:vertAlign w:val="subscript"/>
        </w:rPr>
        <w:t>x</w:t>
      </w:r>
      <w:r w:rsidRPr="00B772C7">
        <w:rPr>
          <w:i/>
          <w:shd w:val="clear" w:color="auto" w:fill="FFFFFF"/>
        </w:rPr>
        <w:t>, +50% NH</w:t>
      </w:r>
      <w:r w:rsidRPr="00B772C7">
        <w:rPr>
          <w:i/>
          <w:shd w:val="clear" w:color="auto" w:fill="FFFFFF"/>
          <w:vertAlign w:val="subscript"/>
        </w:rPr>
        <w:t>3</w:t>
      </w:r>
    </w:p>
    <w:p w:rsidR="00466B05" w:rsidRDefault="007612AE" w:rsidP="007612AE">
      <w:r w:rsidRPr="00B772C7">
        <w:rPr>
          <w:i/>
          <w:shd w:val="clear" w:color="auto" w:fill="FFFFFF"/>
        </w:rPr>
        <w:t>Figu</w:t>
      </w:r>
      <w:r w:rsidR="00337E2D">
        <w:rPr>
          <w:i/>
          <w:shd w:val="clear" w:color="auto" w:fill="FFFFFF"/>
        </w:rPr>
        <w:t>re S6</w:t>
      </w:r>
      <w:r>
        <w:rPr>
          <w:i/>
          <w:shd w:val="clear" w:color="auto" w:fill="FFFFFF"/>
        </w:rPr>
        <w:t xml:space="preserve"> shows excellent agreement </w:t>
      </w:r>
      <w:r w:rsidRPr="00B772C7">
        <w:rPr>
          <w:i/>
          <w:shd w:val="clear" w:color="auto" w:fill="FFFFFF"/>
        </w:rPr>
        <w:t xml:space="preserve">between the RFM and original CMAQ </w:t>
      </w:r>
      <w:r>
        <w:rPr>
          <w:i/>
          <w:shd w:val="clear" w:color="auto" w:fill="FFFFFF"/>
        </w:rPr>
        <w:t>and demonstrated</w:t>
      </w:r>
      <w:r w:rsidRPr="00B772C7">
        <w:rPr>
          <w:i/>
          <w:shd w:val="clear" w:color="auto" w:fill="FFFFFF"/>
        </w:rPr>
        <w:t xml:space="preserve"> the ability of the RFM to replicate the original model with multiple simultaneous large emission changes.</w:t>
      </w:r>
      <w:bookmarkStart w:id="0" w:name="_GoBack"/>
      <w:bookmarkEnd w:id="0"/>
      <w:r w:rsidR="00466B05">
        <w:br w:type="page"/>
      </w:r>
    </w:p>
    <w:p w:rsidR="00466B05" w:rsidRDefault="00466B05" w:rsidP="00466B05">
      <w:pPr>
        <w:spacing w:line="360" w:lineRule="auto"/>
        <w:jc w:val="center"/>
        <w:rPr>
          <w:color w:val="0000FF"/>
          <w:shd w:val="clear" w:color="auto" w:fill="FFFFFF"/>
        </w:rPr>
      </w:pPr>
      <w:r w:rsidRPr="00CD657F">
        <w:rPr>
          <w:noProof/>
          <w:color w:val="0000FF"/>
          <w:shd w:val="clear" w:color="auto" w:fill="FFFFFF"/>
          <w:lang w:eastAsia="zh-CN"/>
        </w:rPr>
        <w:lastRenderedPageBreak/>
        <w:drawing>
          <wp:inline distT="0" distB="0" distL="0" distR="0">
            <wp:extent cx="5307379" cy="7392572"/>
            <wp:effectExtent l="19050" t="0" r="7571" b="0"/>
            <wp:docPr id="11" name="Picture 11" descr="D:\wzhang\Downloads\work authorization\papers\pm uncertainty submission\plots_response\Figure 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zhang\Downloads\work authorization\papers\pm uncertainty submission\plots_response\Figure R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37" cy="73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05" w:rsidRPr="00466B05" w:rsidRDefault="00466B05" w:rsidP="00466B05">
      <w:pPr>
        <w:rPr>
          <w:shd w:val="clear" w:color="auto" w:fill="FFFFFF"/>
        </w:rPr>
      </w:pPr>
      <w:r w:rsidRPr="00466B05">
        <w:rPr>
          <w:sz w:val="22"/>
          <w:szCs w:val="22"/>
          <w:shd w:val="clear" w:color="auto" w:fill="FFFFFF"/>
        </w:rPr>
        <w:t xml:space="preserve">Figure S3. Comparison of PM2.5 concentrations simulated by the original CMAQ and the RFM with 10%, 50%, and 100% reduction in SO2, NOx, NH3, and VOC emissions. The upper, middle and lower grey lines represent 2:1, and 1:1, and 1:2 lines.  The red line represents the linear regression of the RFM output against CMAQ simulation. </w:t>
      </w:r>
    </w:p>
    <w:p w:rsidR="00466B05" w:rsidRDefault="00466B05" w:rsidP="00466B05">
      <w:pPr>
        <w:spacing w:line="360" w:lineRule="auto"/>
        <w:jc w:val="center"/>
        <w:rPr>
          <w:i/>
          <w:shd w:val="clear" w:color="auto" w:fill="FFFFFF"/>
        </w:rPr>
      </w:pPr>
      <w:r>
        <w:rPr>
          <w:i/>
          <w:noProof/>
          <w:shd w:val="clear" w:color="auto" w:fill="FFFFFF"/>
          <w:lang w:eastAsia="zh-CN"/>
        </w:rPr>
        <w:lastRenderedPageBreak/>
        <w:drawing>
          <wp:inline distT="0" distB="0" distL="0" distR="0">
            <wp:extent cx="5713324" cy="4016326"/>
            <wp:effectExtent l="19050" t="0" r="1676" b="0"/>
            <wp:docPr id="12" name="图片 2" descr="D:\work\paper_writing\uncertainty_paper\review1\plots_response\Figure R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paper_writing\uncertainty_paper\review1\plots_response\Figure R3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83" cy="401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05" w:rsidRDefault="00466B05" w:rsidP="00466B05">
      <w:pPr>
        <w:spacing w:line="300" w:lineRule="auto"/>
        <w:rPr>
          <w:sz w:val="22"/>
          <w:szCs w:val="22"/>
          <w:shd w:val="clear" w:color="auto" w:fill="FFFFFF"/>
        </w:rPr>
      </w:pPr>
      <w:r w:rsidRPr="00466B05">
        <w:rPr>
          <w:shd w:val="clear" w:color="auto" w:fill="FFFFFF"/>
        </w:rPr>
        <w:t xml:space="preserve">Figure </w:t>
      </w:r>
      <w:r>
        <w:rPr>
          <w:shd w:val="clear" w:color="auto" w:fill="FFFFFF"/>
        </w:rPr>
        <w:t>S4</w:t>
      </w:r>
      <w:r w:rsidRPr="00466B05">
        <w:rPr>
          <w:sz w:val="22"/>
          <w:szCs w:val="22"/>
          <w:shd w:val="clear" w:color="auto" w:fill="FFFFFF"/>
        </w:rPr>
        <w:t>. Comparison of First-Order DDM sensitivities (purple cross) with BF sensitivities calculated using central finite difference (FD) with 50% perturbation (used as x-axis), forward FD with 50% perturbation (blue diamond), backward FD with 50% perturbation (red square), and central FD with 10% perturbation (green triangle). The four sensitiviti</w:t>
      </w:r>
      <w:r w:rsidR="00C85586">
        <w:rPr>
          <w:sz w:val="22"/>
          <w:szCs w:val="22"/>
          <w:shd w:val="clear" w:color="auto" w:fill="FFFFFF"/>
        </w:rPr>
        <w:t>es plotted in this figure are a</w:t>
      </w:r>
      <w:r w:rsidRPr="00466B05">
        <w:rPr>
          <w:sz w:val="22"/>
          <w:szCs w:val="22"/>
          <w:shd w:val="clear" w:color="auto" w:fill="FFFFFF"/>
        </w:rPr>
        <w:t xml:space="preserve">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b>
            </m:sSub>
          </m:den>
        </m:f>
      </m:oMath>
      <w:r w:rsidRPr="00466B05">
        <w:rPr>
          <w:sz w:val="22"/>
          <w:szCs w:val="22"/>
          <w:shd w:val="clear" w:color="auto" w:fill="FFFFFF"/>
        </w:rPr>
        <w:t xml:space="preserve">, b)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3</m:t>
                </m:r>
              </m:sub>
            </m:sSub>
          </m:den>
        </m:f>
      </m:oMath>
      <w:r w:rsidRPr="00466B05">
        <w:rPr>
          <w:sz w:val="22"/>
          <w:szCs w:val="22"/>
          <w:shd w:val="clear" w:color="auto" w:fill="FFFFFF"/>
        </w:rPr>
        <w:t xml:space="preserve">, c)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x</m:t>
                </m:r>
              </m:sub>
            </m:sSub>
          </m:den>
        </m:f>
      </m:oMath>
      <w:r w:rsidRPr="00466B05">
        <w:rPr>
          <w:sz w:val="22"/>
          <w:szCs w:val="22"/>
          <w:shd w:val="clear" w:color="auto" w:fill="FFFFFF"/>
        </w:rPr>
        <w:t>, d)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∂VOC</m:t>
            </m:r>
          </m:den>
        </m:f>
      </m:oMath>
      <w:r w:rsidRPr="00466B05">
        <w:rPr>
          <w:sz w:val="22"/>
          <w:szCs w:val="22"/>
          <w:shd w:val="clear" w:color="auto" w:fill="FFFFFF"/>
        </w:rPr>
        <w:t xml:space="preserve">.  </w:t>
      </w:r>
    </w:p>
    <w:p w:rsidR="00466B05" w:rsidRDefault="00466B05" w:rsidP="00466B05">
      <w:pPr>
        <w:spacing w:line="300" w:lineRule="auto"/>
        <w:rPr>
          <w:sz w:val="22"/>
          <w:szCs w:val="22"/>
          <w:shd w:val="clear" w:color="auto" w:fill="FFFFFF"/>
        </w:rPr>
      </w:pPr>
    </w:p>
    <w:p w:rsidR="00466B05" w:rsidRPr="00466B05" w:rsidRDefault="00466B05" w:rsidP="00466B05">
      <w:pPr>
        <w:spacing w:line="300" w:lineRule="auto"/>
        <w:rPr>
          <w:sz w:val="22"/>
          <w:szCs w:val="22"/>
          <w:shd w:val="clear" w:color="auto" w:fill="FFFFFF"/>
        </w:rPr>
      </w:pPr>
    </w:p>
    <w:p w:rsidR="00466B05" w:rsidRDefault="00466B05" w:rsidP="00466B05">
      <w:pPr>
        <w:spacing w:line="360" w:lineRule="auto"/>
        <w:jc w:val="center"/>
        <w:rPr>
          <w:i/>
          <w:shd w:val="clear" w:color="auto" w:fill="FFFFFF"/>
        </w:rPr>
      </w:pPr>
      <w:r>
        <w:rPr>
          <w:i/>
          <w:noProof/>
          <w:shd w:val="clear" w:color="auto" w:fill="FFFFFF"/>
          <w:lang w:eastAsia="zh-CN"/>
        </w:rPr>
        <w:lastRenderedPageBreak/>
        <w:drawing>
          <wp:inline distT="0" distB="0" distL="0" distR="0">
            <wp:extent cx="4411366" cy="4353951"/>
            <wp:effectExtent l="19050" t="0" r="8234" b="0"/>
            <wp:docPr id="10" name="图片 3" descr="D:\work\paper_writing\uncertainty_paper\review1\plots_response\Figure R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paper_writing\uncertainty_paper\review1\plots_response\Figure R3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26" cy="435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05" w:rsidRPr="00466B05" w:rsidRDefault="00466B05" w:rsidP="00466B05">
      <w:pPr>
        <w:spacing w:line="300" w:lineRule="auto"/>
        <w:rPr>
          <w:sz w:val="22"/>
          <w:szCs w:val="22"/>
          <w:shd w:val="clear" w:color="auto" w:fill="FFFFFF"/>
        </w:rPr>
      </w:pPr>
      <w:r w:rsidRPr="00466B05">
        <w:rPr>
          <w:sz w:val="22"/>
          <w:szCs w:val="22"/>
          <w:shd w:val="clear" w:color="auto" w:fill="FFFFFF"/>
        </w:rPr>
        <w:t xml:space="preserve">Figure </w:t>
      </w:r>
      <w:r>
        <w:rPr>
          <w:sz w:val="22"/>
          <w:szCs w:val="22"/>
          <w:shd w:val="clear" w:color="auto" w:fill="FFFFFF"/>
        </w:rPr>
        <w:t>S5</w:t>
      </w:r>
      <w:r w:rsidRPr="00466B05">
        <w:rPr>
          <w:sz w:val="22"/>
          <w:szCs w:val="22"/>
          <w:shd w:val="clear" w:color="auto" w:fill="FFFFFF"/>
        </w:rPr>
        <w:t>. Comparison of Second-Order DDM sensitivities (blue diamond) with BF sensitivities calculated using central finite difference (FD) with 50% (used as x-axis) and 10% (red cross) perturbation. The four sensitiviti</w:t>
      </w:r>
      <w:r w:rsidR="009F5384">
        <w:rPr>
          <w:sz w:val="22"/>
          <w:szCs w:val="22"/>
          <w:shd w:val="clear" w:color="auto" w:fill="FFFFFF"/>
        </w:rPr>
        <w:t>es plotted in this figure are a</w:t>
      </w:r>
      <w:r w:rsidRPr="00466B05">
        <w:rPr>
          <w:sz w:val="22"/>
          <w:szCs w:val="22"/>
          <w:shd w:val="clear" w:color="auto" w:fill="FFFFFF"/>
        </w:rPr>
        <w:t xml:space="preserve">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∂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p>
            </m:sSubSup>
          </m:den>
        </m:f>
      </m:oMath>
      <w:r w:rsidRPr="00466B05">
        <w:rPr>
          <w:sz w:val="22"/>
          <w:szCs w:val="22"/>
          <w:shd w:val="clear" w:color="auto" w:fill="FFFFFF"/>
        </w:rPr>
        <w:t xml:space="preserve">, b)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∂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p>
            </m:sSubSup>
          </m:den>
        </m:f>
      </m:oMath>
      <w:r w:rsidRPr="00466B05">
        <w:rPr>
          <w:sz w:val="22"/>
          <w:szCs w:val="22"/>
          <w:shd w:val="clear" w:color="auto" w:fill="FFFFFF"/>
        </w:rPr>
        <w:t xml:space="preserve">, c)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∂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NO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p>
            </m:sSubSup>
          </m:den>
        </m:f>
      </m:oMath>
      <w:r w:rsidRPr="00466B05">
        <w:rPr>
          <w:sz w:val="22"/>
          <w:szCs w:val="22"/>
          <w:shd w:val="clear" w:color="auto" w:fill="FFFFFF"/>
        </w:rPr>
        <w:t xml:space="preserve">, d) </w:t>
      </w:r>
      <m:oMath>
        <m:f>
          <m:fPr>
            <m:ctrlPr>
              <w:rPr>
                <w:rFonts w:ascii="Cambria Math" w:hAnsi="Cambria Math"/>
                <w:sz w:val="22"/>
                <w:szCs w:val="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∂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shd w:val="clear" w:color="auto" w:fill="FFFFF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PM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2.5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shd w:val="clear" w:color="auto" w:fill="FFFFFF"/>
              </w:rPr>
              <m:t>∂</m:t>
            </m:r>
            <m:sSup>
              <m:sSupPr>
                <m:ctrl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  <w:lang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VOC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shd w:val="clear" w:color="auto" w:fill="FFFFFF"/>
                  </w:rPr>
                  <m:t>2</m:t>
                </m:r>
              </m:sup>
            </m:sSup>
          </m:den>
        </m:f>
      </m:oMath>
      <w:r w:rsidRPr="00466B05">
        <w:rPr>
          <w:sz w:val="22"/>
          <w:szCs w:val="22"/>
          <w:shd w:val="clear" w:color="auto" w:fill="FFFFFF"/>
        </w:rPr>
        <w:t xml:space="preserve">.  </w:t>
      </w:r>
    </w:p>
    <w:p w:rsidR="00466B05" w:rsidRDefault="00466B05"/>
    <w:p w:rsidR="006C0034" w:rsidRDefault="006C0034">
      <w:r>
        <w:br w:type="page"/>
      </w:r>
    </w:p>
    <w:p w:rsidR="00886A94" w:rsidRDefault="00886A94" w:rsidP="00886A94">
      <w:pPr>
        <w:spacing w:line="360" w:lineRule="auto"/>
        <w:jc w:val="center"/>
        <w:rPr>
          <w:color w:val="0000FF"/>
          <w:shd w:val="clear" w:color="auto" w:fill="FFFFFF"/>
        </w:rPr>
      </w:pPr>
      <w:r>
        <w:rPr>
          <w:noProof/>
          <w:color w:val="0000FF"/>
          <w:shd w:val="clear" w:color="auto" w:fill="FFFFFF"/>
        </w:rPr>
        <w:lastRenderedPageBreak/>
        <w:drawing>
          <wp:inline distT="0" distB="0" distL="0" distR="0" wp14:anchorId="6065DDDE" wp14:editId="3EFD6CE2">
            <wp:extent cx="4033520" cy="4103370"/>
            <wp:effectExtent l="19050" t="0" r="5080" b="0"/>
            <wp:docPr id="14" name="图片 5" descr="D:\work\paper_writing\uncertainty_paper\review1\Figure 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paper_writing\uncertainty_paper\review1\Figure R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94" w:rsidRPr="00AB3301" w:rsidRDefault="00886A94" w:rsidP="00886A94">
      <w:pPr>
        <w:spacing w:line="300" w:lineRule="auto"/>
        <w:ind w:left="720"/>
        <w:rPr>
          <w:i/>
          <w:shd w:val="clear" w:color="auto" w:fill="FFFFFF"/>
        </w:rPr>
      </w:pPr>
      <w:r>
        <w:rPr>
          <w:i/>
          <w:shd w:val="clear" w:color="auto" w:fill="FFFFFF"/>
        </w:rPr>
        <w:t>Figure S6</w:t>
      </w:r>
      <w:r w:rsidRPr="00AB3301">
        <w:rPr>
          <w:i/>
          <w:shd w:val="clear" w:color="auto" w:fill="FFFFFF"/>
        </w:rPr>
        <w:t xml:space="preserve">. Comparison of </w:t>
      </w:r>
      <m:oMath>
        <m:f>
          <m:fPr>
            <m:ctrlPr>
              <w:rPr>
                <w:rFonts w:ascii="Cambria Math" w:hAnsi="Cambria Math"/>
                <w:i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hd w:val="clear" w:color="auto" w:fill="FFFFFF"/>
                  </w:rPr>
                  <m:t>PM</m:t>
                </m:r>
              </m:e>
              <m:sub>
                <m:r>
                  <w:rPr>
                    <w:rFonts w:ascii="Cambria Math" w:hAnsi="Cambria Math"/>
                    <w:shd w:val="clear" w:color="auto" w:fill="FFFFFF"/>
                  </w:rPr>
                  <m:t>2.5</m:t>
                </m:r>
              </m:sub>
            </m:sSub>
          </m:num>
          <m:den>
            <m:r>
              <w:rPr>
                <w:rFonts w:ascii="Cambria Math" w:hAnsi="Cambria Math"/>
                <w:shd w:val="clear" w:color="auto" w:fill="FFFFFF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shd w:val="clear" w:color="auto" w:fill="FFFFFF"/>
                  </w:rPr>
                  <m:t>SO</m:t>
                </m:r>
              </m:e>
              <m:sub>
                <m: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den>
        </m:f>
      </m:oMath>
      <w:r w:rsidRPr="00AB3301">
        <w:rPr>
          <w:i/>
          <w:shd w:val="clear" w:color="auto" w:fill="FFFFFF"/>
        </w:rPr>
        <w:t xml:space="preserve"> calculated by the RFM with the original CMAQ model with emission changes of a) +50% NO</w:t>
      </w:r>
      <w:r w:rsidRPr="00AB3301">
        <w:rPr>
          <w:i/>
          <w:shd w:val="clear" w:color="auto" w:fill="FFFFFF"/>
          <w:vertAlign w:val="subscript"/>
        </w:rPr>
        <w:t>x</w:t>
      </w:r>
      <w:r w:rsidRPr="00AB3301">
        <w:rPr>
          <w:i/>
          <w:shd w:val="clear" w:color="auto" w:fill="FFFFFF"/>
        </w:rPr>
        <w:t xml:space="preserve"> and +50% NH</w:t>
      </w:r>
      <w:r w:rsidRPr="00AB3301">
        <w:rPr>
          <w:i/>
          <w:shd w:val="clear" w:color="auto" w:fill="FFFFFF"/>
          <w:vertAlign w:val="subscript"/>
        </w:rPr>
        <w:t>3</w:t>
      </w:r>
      <w:r w:rsidRPr="00AB3301">
        <w:rPr>
          <w:i/>
          <w:shd w:val="clear" w:color="auto" w:fill="FFFFFF"/>
        </w:rPr>
        <w:t>, b) +50% NO</w:t>
      </w:r>
      <w:r w:rsidRPr="00AB3301">
        <w:rPr>
          <w:i/>
          <w:shd w:val="clear" w:color="auto" w:fill="FFFFFF"/>
          <w:vertAlign w:val="subscript"/>
        </w:rPr>
        <w:t>x</w:t>
      </w:r>
      <w:r w:rsidRPr="00AB3301">
        <w:rPr>
          <w:i/>
          <w:shd w:val="clear" w:color="auto" w:fill="FFFFFF"/>
        </w:rPr>
        <w:t xml:space="preserve"> and -50% NH</w:t>
      </w:r>
      <w:r w:rsidRPr="00AB3301">
        <w:rPr>
          <w:i/>
          <w:shd w:val="clear" w:color="auto" w:fill="FFFFFF"/>
          <w:vertAlign w:val="subscript"/>
        </w:rPr>
        <w:t>3</w:t>
      </w:r>
      <w:r w:rsidRPr="00AB3301">
        <w:rPr>
          <w:i/>
          <w:shd w:val="clear" w:color="auto" w:fill="FFFFFF"/>
        </w:rPr>
        <w:t>, b) -50% NO</w:t>
      </w:r>
      <w:r w:rsidRPr="00AB3301">
        <w:rPr>
          <w:i/>
          <w:shd w:val="clear" w:color="auto" w:fill="FFFFFF"/>
          <w:vertAlign w:val="subscript"/>
        </w:rPr>
        <w:t>x</w:t>
      </w:r>
      <w:r w:rsidRPr="00AB3301">
        <w:rPr>
          <w:i/>
          <w:shd w:val="clear" w:color="auto" w:fill="FFFFFF"/>
        </w:rPr>
        <w:t xml:space="preserve"> and -50% NH</w:t>
      </w:r>
      <w:r w:rsidRPr="00AB3301">
        <w:rPr>
          <w:i/>
          <w:shd w:val="clear" w:color="auto" w:fill="FFFFFF"/>
          <w:vertAlign w:val="subscript"/>
        </w:rPr>
        <w:t>3</w:t>
      </w:r>
      <w:r w:rsidRPr="00AB3301">
        <w:rPr>
          <w:i/>
          <w:shd w:val="clear" w:color="auto" w:fill="FFFFFF"/>
        </w:rPr>
        <w:t>, b) -50% NO</w:t>
      </w:r>
      <w:r w:rsidRPr="00AB3301">
        <w:rPr>
          <w:i/>
          <w:shd w:val="clear" w:color="auto" w:fill="FFFFFF"/>
          <w:vertAlign w:val="subscript"/>
        </w:rPr>
        <w:t>x</w:t>
      </w:r>
      <w:r w:rsidRPr="00AB3301">
        <w:rPr>
          <w:i/>
          <w:shd w:val="clear" w:color="auto" w:fill="FFFFFF"/>
        </w:rPr>
        <w:t xml:space="preserve"> and +50% NH</w:t>
      </w:r>
      <w:r w:rsidRPr="00AB3301">
        <w:rPr>
          <w:i/>
          <w:shd w:val="clear" w:color="auto" w:fill="FFFFFF"/>
          <w:vertAlign w:val="subscript"/>
        </w:rPr>
        <w:t>3</w:t>
      </w:r>
      <w:r w:rsidRPr="00AB3301">
        <w:rPr>
          <w:i/>
          <w:shd w:val="clear" w:color="auto" w:fill="FFFFFF"/>
        </w:rPr>
        <w:t xml:space="preserve">.  The grey lines are the 1:2 and 2:1 lines.  The black dotted line is the 1:1 line. The red line represents the linear regression of the RFM output against CMAQ simulations.  </w:t>
      </w:r>
    </w:p>
    <w:p w:rsidR="006C0034" w:rsidRDefault="006C0034"/>
    <w:sectPr w:rsidR="006C0034" w:rsidSect="006444E0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2EC" w:rsidRDefault="004862EC" w:rsidP="00466B05">
      <w:r>
        <w:separator/>
      </w:r>
    </w:p>
  </w:endnote>
  <w:endnote w:type="continuationSeparator" w:id="0">
    <w:p w:rsidR="004862EC" w:rsidRDefault="004862EC" w:rsidP="00466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2EC" w:rsidRDefault="004862EC" w:rsidP="00466B05">
      <w:r>
        <w:separator/>
      </w:r>
    </w:p>
  </w:footnote>
  <w:footnote w:type="continuationSeparator" w:id="0">
    <w:p w:rsidR="004862EC" w:rsidRDefault="004862EC" w:rsidP="00466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A0E99"/>
    <w:multiLevelType w:val="hybridMultilevel"/>
    <w:tmpl w:val="62CCB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B0ADF"/>
    <w:multiLevelType w:val="multilevel"/>
    <w:tmpl w:val="61160EAA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4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2BA8"/>
    <w:rsid w:val="00012029"/>
    <w:rsid w:val="0001445E"/>
    <w:rsid w:val="00033FA1"/>
    <w:rsid w:val="00044FF9"/>
    <w:rsid w:val="00064FBB"/>
    <w:rsid w:val="000D1270"/>
    <w:rsid w:val="000E1651"/>
    <w:rsid w:val="000E5F10"/>
    <w:rsid w:val="001412B0"/>
    <w:rsid w:val="001774F6"/>
    <w:rsid w:val="00184C48"/>
    <w:rsid w:val="001A47AB"/>
    <w:rsid w:val="001B35A6"/>
    <w:rsid w:val="00206951"/>
    <w:rsid w:val="002151BE"/>
    <w:rsid w:val="002578D8"/>
    <w:rsid w:val="002B487C"/>
    <w:rsid w:val="002F5CBF"/>
    <w:rsid w:val="003143D8"/>
    <w:rsid w:val="00337DE4"/>
    <w:rsid w:val="00337E2D"/>
    <w:rsid w:val="003431B6"/>
    <w:rsid w:val="00345C31"/>
    <w:rsid w:val="0035772D"/>
    <w:rsid w:val="00360778"/>
    <w:rsid w:val="003816E2"/>
    <w:rsid w:val="003B7764"/>
    <w:rsid w:val="00415BE2"/>
    <w:rsid w:val="00426074"/>
    <w:rsid w:val="0043276B"/>
    <w:rsid w:val="004402FB"/>
    <w:rsid w:val="00466B05"/>
    <w:rsid w:val="00482EC5"/>
    <w:rsid w:val="004862EC"/>
    <w:rsid w:val="004C7C50"/>
    <w:rsid w:val="00571221"/>
    <w:rsid w:val="005743C9"/>
    <w:rsid w:val="00575593"/>
    <w:rsid w:val="006055E9"/>
    <w:rsid w:val="00622BA8"/>
    <w:rsid w:val="0067426F"/>
    <w:rsid w:val="00682C6D"/>
    <w:rsid w:val="006A1997"/>
    <w:rsid w:val="006C0034"/>
    <w:rsid w:val="006C4667"/>
    <w:rsid w:val="006D3FDD"/>
    <w:rsid w:val="007155DE"/>
    <w:rsid w:val="007612AE"/>
    <w:rsid w:val="007826D3"/>
    <w:rsid w:val="00794EA8"/>
    <w:rsid w:val="0080342A"/>
    <w:rsid w:val="00886A94"/>
    <w:rsid w:val="00892862"/>
    <w:rsid w:val="008A32EF"/>
    <w:rsid w:val="00900E19"/>
    <w:rsid w:val="009829B6"/>
    <w:rsid w:val="009A4422"/>
    <w:rsid w:val="009A6FE7"/>
    <w:rsid w:val="009C2A9C"/>
    <w:rsid w:val="009E103D"/>
    <w:rsid w:val="009E14A0"/>
    <w:rsid w:val="009E52CA"/>
    <w:rsid w:val="009F5384"/>
    <w:rsid w:val="00A01062"/>
    <w:rsid w:val="00A2554D"/>
    <w:rsid w:val="00A54FCF"/>
    <w:rsid w:val="00A556DE"/>
    <w:rsid w:val="00A80A65"/>
    <w:rsid w:val="00AB27F8"/>
    <w:rsid w:val="00AB3DA6"/>
    <w:rsid w:val="00B42AA0"/>
    <w:rsid w:val="00B64780"/>
    <w:rsid w:val="00B92B77"/>
    <w:rsid w:val="00C0402D"/>
    <w:rsid w:val="00C20830"/>
    <w:rsid w:val="00C85586"/>
    <w:rsid w:val="00CA2EE7"/>
    <w:rsid w:val="00CB0764"/>
    <w:rsid w:val="00CB42F4"/>
    <w:rsid w:val="00CE64FD"/>
    <w:rsid w:val="00CE67B3"/>
    <w:rsid w:val="00CF2D1B"/>
    <w:rsid w:val="00D2218C"/>
    <w:rsid w:val="00D550EF"/>
    <w:rsid w:val="00D73A39"/>
    <w:rsid w:val="00D86E27"/>
    <w:rsid w:val="00DA719E"/>
    <w:rsid w:val="00E275E6"/>
    <w:rsid w:val="00E71129"/>
    <w:rsid w:val="00E81688"/>
    <w:rsid w:val="00F13D68"/>
    <w:rsid w:val="00F34113"/>
    <w:rsid w:val="00F47B06"/>
    <w:rsid w:val="00F96D4F"/>
    <w:rsid w:val="00FA5F57"/>
    <w:rsid w:val="00FA61C7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BFAE01-9842-4CA8-9091-86F457AF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6D3"/>
    <w:rPr>
      <w:rFonts w:eastAsiaTheme="minorEastAsia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0342A"/>
    <w:pPr>
      <w:keepNext/>
      <w:outlineLvl w:val="0"/>
    </w:pPr>
    <w:rPr>
      <w:rFonts w:eastAsia="Times New Roman" w:cs="Arial"/>
      <w:bCs/>
      <w:kern w:val="32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80342A"/>
    <w:pPr>
      <w:keepNext/>
      <w:outlineLvl w:val="1"/>
    </w:pPr>
    <w:rPr>
      <w:rFonts w:eastAsia="Times New Roman" w:cs="Arial"/>
      <w:bCs/>
      <w:iCs/>
      <w:u w:val="single"/>
    </w:rPr>
  </w:style>
  <w:style w:type="paragraph" w:styleId="Heading3">
    <w:name w:val="heading 3"/>
    <w:basedOn w:val="Normal"/>
    <w:next w:val="Normal"/>
    <w:link w:val="Heading3Char"/>
    <w:qFormat/>
    <w:rsid w:val="0080342A"/>
    <w:pPr>
      <w:keepNext/>
      <w:outlineLvl w:val="2"/>
    </w:pPr>
    <w:rPr>
      <w:rFonts w:eastAsia="Times New Roman" w:cs="Arial"/>
      <w:bCs/>
      <w:i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8034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8034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80342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80342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342A"/>
    <w:rPr>
      <w:rFonts w:eastAsia="Times New Roman" w:cs="Arial"/>
      <w:bCs/>
      <w:kern w:val="32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rsid w:val="0080342A"/>
    <w:rPr>
      <w:rFonts w:eastAsia="Times New Roman" w:cs="Arial"/>
      <w:bCs/>
      <w:iCs/>
      <w:u w:val="single"/>
    </w:rPr>
  </w:style>
  <w:style w:type="character" w:customStyle="1" w:styleId="Heading3Char">
    <w:name w:val="Heading 3 Char"/>
    <w:basedOn w:val="DefaultParagraphFont"/>
    <w:link w:val="Heading3"/>
    <w:rsid w:val="0080342A"/>
    <w:rPr>
      <w:rFonts w:eastAsia="Times New Roman" w:cs="Arial"/>
      <w:bCs/>
      <w:i/>
      <w:u w:val="single"/>
    </w:rPr>
  </w:style>
  <w:style w:type="paragraph" w:customStyle="1" w:styleId="Endnote">
    <w:name w:val="Endnote"/>
    <w:basedOn w:val="Normal"/>
    <w:next w:val="EndnoteText"/>
    <w:rsid w:val="0080342A"/>
    <w:rPr>
      <w:rFonts w:eastAsia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342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342A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80342A"/>
    <w:rPr>
      <w:vertAlign w:val="superscript"/>
    </w:rPr>
  </w:style>
  <w:style w:type="paragraph" w:customStyle="1" w:styleId="ChapterTitle">
    <w:name w:val="Chapter Title"/>
    <w:next w:val="Normal"/>
    <w:rsid w:val="002F5CBF"/>
    <w:pPr>
      <w:spacing w:before="1440" w:after="720"/>
      <w:jc w:val="center"/>
    </w:pPr>
    <w:rPr>
      <w:rFonts w:eastAsia="Times New Roman" w:cs="Arial"/>
      <w:b/>
      <w:bCs/>
      <w:caps/>
      <w:kern w:val="32"/>
      <w:sz w:val="32"/>
      <w:szCs w:val="32"/>
    </w:rPr>
  </w:style>
  <w:style w:type="paragraph" w:customStyle="1" w:styleId="AppendixTitle">
    <w:name w:val="Appendix Title"/>
    <w:basedOn w:val="Normal"/>
    <w:rsid w:val="0080342A"/>
    <w:pPr>
      <w:spacing w:before="120" w:after="120"/>
      <w:jc w:val="center"/>
    </w:pPr>
    <w:rPr>
      <w:rFonts w:eastAsia="Times New Roman"/>
      <w:sz w:val="32"/>
    </w:rPr>
  </w:style>
  <w:style w:type="paragraph" w:customStyle="1" w:styleId="FigureTitle">
    <w:name w:val="Figure Title"/>
    <w:basedOn w:val="Normal"/>
    <w:rsid w:val="0080342A"/>
    <w:pPr>
      <w:jc w:val="center"/>
    </w:pPr>
    <w:rPr>
      <w:rFonts w:eastAsia="Times New Roman"/>
      <w:b/>
    </w:rPr>
  </w:style>
  <w:style w:type="paragraph" w:customStyle="1" w:styleId="TableTitle">
    <w:name w:val="Table Title"/>
    <w:basedOn w:val="Normal"/>
    <w:rsid w:val="0080342A"/>
    <w:pPr>
      <w:jc w:val="center"/>
    </w:pPr>
    <w:rPr>
      <w:rFonts w:eastAsia="Times New Roman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4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4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4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4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semiHidden/>
    <w:unhideWhenUsed/>
    <w:rsid w:val="00803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342A"/>
  </w:style>
  <w:style w:type="paragraph" w:styleId="Footer">
    <w:name w:val="footer"/>
    <w:basedOn w:val="Normal"/>
    <w:link w:val="FooterChar"/>
    <w:uiPriority w:val="99"/>
    <w:semiHidden/>
    <w:unhideWhenUsed/>
    <w:rsid w:val="00803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342A"/>
  </w:style>
  <w:style w:type="table" w:customStyle="1" w:styleId="SierraTableFormat">
    <w:name w:val="*Sierra Table Format"/>
    <w:basedOn w:val="TableNormal"/>
    <w:uiPriority w:val="99"/>
    <w:qFormat/>
    <w:rsid w:val="00D86E27"/>
    <w:rPr>
      <w:rFonts w:eastAsia="Calibri" w:cs="Times New Roman"/>
      <w:sz w:val="20"/>
      <w:szCs w:val="20"/>
    </w:rPr>
    <w:tblPr>
      <w:jc w:val="center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  <w:tblCellMar>
        <w:top w:w="29" w:type="dxa"/>
        <w:left w:w="29" w:type="dxa"/>
        <w:bottom w:w="29" w:type="dxa"/>
        <w:right w:w="29" w:type="dxa"/>
      </w:tblCellMar>
    </w:tblPr>
    <w:trPr>
      <w:jc w:val="center"/>
    </w:trPr>
    <w:tblStylePr w:type="firstRow">
      <w:pPr>
        <w:wordWrap/>
        <w:jc w:val="center"/>
      </w:pPr>
    </w:tblStylePr>
  </w:style>
  <w:style w:type="numbering" w:customStyle="1" w:styleId="BulletList">
    <w:name w:val="Bullet List"/>
    <w:basedOn w:val="NoList"/>
    <w:uiPriority w:val="99"/>
    <w:rsid w:val="009E103D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7826D3"/>
  </w:style>
  <w:style w:type="paragraph" w:customStyle="1" w:styleId="Subhead-Lvl2-Thesis">
    <w:name w:val="Subhead-Lvl 2-Thesis"/>
    <w:basedOn w:val="Normal"/>
    <w:uiPriority w:val="99"/>
    <w:rsid w:val="004C7C50"/>
    <w:pPr>
      <w:spacing w:before="240" w:line="480" w:lineRule="auto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B05"/>
    <w:rPr>
      <w:rFonts w:ascii="Microsoft YaHei" w:eastAsia="Microsoft YaHe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05"/>
    <w:rPr>
      <w:rFonts w:ascii="Microsoft YaHei" w:eastAsia="Microsoft YaHei" w:cs="Times New Roman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54F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45C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10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Consultants Inc.</Company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Wenxian Zhang</dc:creator>
  <cp:keywords/>
  <dc:description/>
  <cp:lastModifiedBy>Wenxian Zhang</cp:lastModifiedBy>
  <cp:revision>39</cp:revision>
  <dcterms:created xsi:type="dcterms:W3CDTF">2015-03-16T20:51:00Z</dcterms:created>
  <dcterms:modified xsi:type="dcterms:W3CDTF">2015-08-20T22:20:00Z</dcterms:modified>
</cp:coreProperties>
</file>